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9F" w:rsidRDefault="00355E86" w:rsidP="005F409F">
      <w:r>
        <w:rPr>
          <w:rFonts w:cstheme="minorHAnsi"/>
          <w:noProof/>
          <w:color w:val="0563C1" w:themeColor="hyperlink"/>
          <w:sz w:val="24"/>
          <w:u w:val="single"/>
        </w:rPr>
        <w:drawing>
          <wp:anchor distT="0" distB="0" distL="114300" distR="114300" simplePos="0" relativeHeight="251658240" behindDoc="0" locked="0" layoutInCell="1" allowOverlap="1" wp14:anchorId="701DF6E6" wp14:editId="4895BF94">
            <wp:simplePos x="0" y="0"/>
            <wp:positionH relativeFrom="column">
              <wp:posOffset>1419498</wp:posOffset>
            </wp:positionH>
            <wp:positionV relativeFrom="paragraph">
              <wp:posOffset>36720</wp:posOffset>
            </wp:positionV>
            <wp:extent cx="533672" cy="51406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 Logo- MADE 1-14-2021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496" cy="523524"/>
                    </a:xfrm>
                    <a:prstGeom prst="rect">
                      <a:avLst/>
                    </a:prstGeom>
                  </pic:spPr>
                </pic:pic>
              </a:graphicData>
            </a:graphic>
            <wp14:sizeRelH relativeFrom="margin">
              <wp14:pctWidth>0</wp14:pctWidth>
            </wp14:sizeRelH>
            <wp14:sizeRelV relativeFrom="margin">
              <wp14:pctHeight>0</wp14:pctHeight>
            </wp14:sizeRelV>
          </wp:anchor>
        </w:drawing>
      </w:r>
    </w:p>
    <w:p w:rsidR="008E77D9" w:rsidRPr="00355E86" w:rsidRDefault="005F409F" w:rsidP="005F409F">
      <w:pPr>
        <w:jc w:val="center"/>
        <w:rPr>
          <w:rFonts w:ascii="Boogaloo" w:hAnsi="Boogaloo"/>
          <w:sz w:val="32"/>
        </w:rPr>
      </w:pPr>
      <w:r w:rsidRPr="00355E86">
        <w:rPr>
          <w:rFonts w:ascii="Boogaloo" w:hAnsi="Boogaloo"/>
          <w:sz w:val="32"/>
        </w:rPr>
        <w:t>CAC Nondiscrimination Policy</w:t>
      </w:r>
    </w:p>
    <w:p w:rsidR="008E77D9" w:rsidRDefault="008E77D9">
      <w:bookmarkStart w:id="0" w:name="_GoBack"/>
      <w:bookmarkEnd w:id="0"/>
    </w:p>
    <w:p w:rsidR="005F409F" w:rsidRDefault="005F409F" w:rsidP="005F409F">
      <w:pPr>
        <w:pStyle w:val="NoSpacing"/>
        <w:rPr>
          <w:rFonts w:cstheme="minorHAnsi"/>
          <w:sz w:val="24"/>
        </w:rPr>
      </w:pPr>
      <w:r w:rsidRPr="005F409F">
        <w:rPr>
          <w:rFonts w:cstheme="minorHAnsi"/>
          <w:sz w:val="24"/>
        </w:rPr>
        <w:t xml:space="preserve">This policy states </w:t>
      </w:r>
      <w:r>
        <w:rPr>
          <w:rFonts w:cstheme="minorHAnsi"/>
          <w:sz w:val="24"/>
        </w:rPr>
        <w:t>SENMCAC</w:t>
      </w:r>
      <w:r w:rsidRPr="005F409F">
        <w:rPr>
          <w:rFonts w:cstheme="minorHAnsi"/>
          <w:sz w:val="24"/>
        </w:rPr>
        <w:t>’s position on discrimination</w:t>
      </w:r>
      <w:r>
        <w:rPr>
          <w:rFonts w:cstheme="minorHAnsi"/>
          <w:sz w:val="24"/>
        </w:rPr>
        <w:t xml:space="preserve"> of services</w:t>
      </w:r>
      <w:r w:rsidRPr="005F409F">
        <w:rPr>
          <w:rFonts w:cstheme="minorHAnsi"/>
          <w:sz w:val="24"/>
        </w:rPr>
        <w:t xml:space="preserve">. This policy applies to all </w:t>
      </w:r>
      <w:r>
        <w:rPr>
          <w:rFonts w:cstheme="minorHAnsi"/>
          <w:sz w:val="24"/>
        </w:rPr>
        <w:t xml:space="preserve">SENMCAC </w:t>
      </w:r>
      <w:r w:rsidRPr="005F409F">
        <w:rPr>
          <w:rFonts w:cstheme="minorHAnsi"/>
          <w:sz w:val="24"/>
        </w:rPr>
        <w:t>employees, volunteers, members, clients, and contractors.</w:t>
      </w:r>
    </w:p>
    <w:p w:rsidR="005F409F" w:rsidRPr="005F409F" w:rsidRDefault="005F409F" w:rsidP="005F409F">
      <w:pPr>
        <w:pStyle w:val="NoSpacing"/>
        <w:rPr>
          <w:rFonts w:cstheme="minorHAnsi"/>
          <w:sz w:val="24"/>
        </w:rPr>
      </w:pPr>
    </w:p>
    <w:p w:rsidR="005F409F" w:rsidRDefault="005F409F" w:rsidP="005F409F">
      <w:pPr>
        <w:pStyle w:val="NoSpacing"/>
        <w:rPr>
          <w:rFonts w:cstheme="minorHAnsi"/>
          <w:sz w:val="24"/>
        </w:rPr>
      </w:pPr>
      <w:r>
        <w:rPr>
          <w:rFonts w:cstheme="minorHAnsi"/>
          <w:sz w:val="24"/>
        </w:rPr>
        <w:t xml:space="preserve">SENMCAC </w:t>
      </w:r>
      <w:r w:rsidRPr="005F409F">
        <w:rPr>
          <w:rFonts w:cstheme="minorHAnsi"/>
          <w:sz w:val="24"/>
        </w:rPr>
        <w:t>follows an equal opportunity employment policy and employs personnel without regard to race, creed, color, ethnicity, national origin, religion, sex, sexual orientation, gender expression, age, physical or mental ability, veteran status, military obligations, and marital status.</w:t>
      </w:r>
    </w:p>
    <w:p w:rsidR="005F409F" w:rsidRPr="005F409F" w:rsidRDefault="005F409F" w:rsidP="005F409F">
      <w:pPr>
        <w:pStyle w:val="NoSpacing"/>
        <w:rPr>
          <w:rFonts w:cstheme="minorHAnsi"/>
          <w:sz w:val="24"/>
        </w:rPr>
      </w:pPr>
    </w:p>
    <w:p w:rsidR="005F409F" w:rsidRDefault="005F409F" w:rsidP="005F409F">
      <w:pPr>
        <w:pStyle w:val="NoSpacing"/>
        <w:rPr>
          <w:rFonts w:cstheme="minorHAnsi"/>
          <w:sz w:val="24"/>
        </w:rPr>
      </w:pPr>
      <w:r w:rsidRPr="005F409F">
        <w:rPr>
          <w:rFonts w:cstheme="minorHAnsi"/>
          <w:sz w:val="24"/>
        </w:rPr>
        <w:t>This policy also applies to internal promotions, training, opportunities for advancement, terminations, outside vendors, members and customers, service clients, use of contractors and consultants, and dealings with the general public.</w:t>
      </w:r>
    </w:p>
    <w:p w:rsidR="005F409F" w:rsidRDefault="005F409F" w:rsidP="008E77D9">
      <w:pPr>
        <w:pStyle w:val="NoSpacing"/>
        <w:rPr>
          <w:rFonts w:cstheme="minorHAnsi"/>
          <w:sz w:val="24"/>
        </w:rPr>
      </w:pPr>
    </w:p>
    <w:p w:rsidR="008E77D9" w:rsidRPr="008E77D9" w:rsidRDefault="008E77D9" w:rsidP="008E77D9">
      <w:pPr>
        <w:pStyle w:val="NoSpacing"/>
        <w:rPr>
          <w:rFonts w:cstheme="minorHAnsi"/>
          <w:sz w:val="24"/>
        </w:rPr>
      </w:pPr>
      <w:r w:rsidRPr="008E77D9">
        <w:rPr>
          <w:rFonts w:cstheme="minorHAnsi"/>
          <w:sz w:val="24"/>
        </w:rPr>
        <w:t xml:space="preserve">The SENMCAC designated person for issues concerning Affirmative Action/Equal Employment Opportunity is </w:t>
      </w:r>
    </w:p>
    <w:p w:rsidR="008E77D9" w:rsidRPr="008E77D9" w:rsidRDefault="008E77D9" w:rsidP="008E77D9">
      <w:pPr>
        <w:pStyle w:val="NoSpacing"/>
        <w:rPr>
          <w:rFonts w:cstheme="minorHAnsi"/>
          <w:sz w:val="24"/>
        </w:rPr>
      </w:pPr>
    </w:p>
    <w:p w:rsidR="008E77D9" w:rsidRPr="008E77D9" w:rsidRDefault="008E77D9" w:rsidP="008E77D9">
      <w:pPr>
        <w:pStyle w:val="NoSpacing"/>
        <w:jc w:val="center"/>
        <w:rPr>
          <w:rFonts w:cstheme="minorHAnsi"/>
          <w:sz w:val="24"/>
        </w:rPr>
      </w:pPr>
      <w:r w:rsidRPr="008E77D9">
        <w:rPr>
          <w:rFonts w:cstheme="minorHAnsi"/>
          <w:sz w:val="24"/>
        </w:rPr>
        <w:t>Zelma Lopez</w:t>
      </w:r>
    </w:p>
    <w:p w:rsidR="008E77D9" w:rsidRPr="008E77D9" w:rsidRDefault="008E77D9" w:rsidP="008E77D9">
      <w:pPr>
        <w:pStyle w:val="NoSpacing"/>
        <w:jc w:val="center"/>
        <w:rPr>
          <w:rFonts w:cstheme="minorHAnsi"/>
          <w:sz w:val="24"/>
        </w:rPr>
      </w:pPr>
      <w:r w:rsidRPr="008E77D9">
        <w:rPr>
          <w:rFonts w:cstheme="minorHAnsi"/>
          <w:sz w:val="24"/>
        </w:rPr>
        <w:t>Executive Director</w:t>
      </w:r>
    </w:p>
    <w:p w:rsidR="008E77D9" w:rsidRPr="008E77D9" w:rsidRDefault="008E77D9" w:rsidP="008E77D9">
      <w:pPr>
        <w:pStyle w:val="NoSpacing"/>
        <w:jc w:val="center"/>
        <w:rPr>
          <w:rFonts w:cstheme="minorHAnsi"/>
          <w:sz w:val="24"/>
        </w:rPr>
      </w:pPr>
      <w:r w:rsidRPr="008E77D9">
        <w:rPr>
          <w:rFonts w:cstheme="minorHAnsi"/>
          <w:sz w:val="24"/>
        </w:rPr>
        <w:t>PO Box 1441</w:t>
      </w:r>
    </w:p>
    <w:p w:rsidR="008E77D9" w:rsidRPr="008E77D9" w:rsidRDefault="008E77D9" w:rsidP="008E77D9">
      <w:pPr>
        <w:pStyle w:val="NoSpacing"/>
        <w:jc w:val="center"/>
        <w:rPr>
          <w:rFonts w:cstheme="minorHAnsi"/>
          <w:sz w:val="24"/>
        </w:rPr>
      </w:pPr>
      <w:r w:rsidRPr="008E77D9">
        <w:rPr>
          <w:rFonts w:cstheme="minorHAnsi"/>
          <w:sz w:val="24"/>
        </w:rPr>
        <w:t>Carlsbad, NM 88221</w:t>
      </w:r>
    </w:p>
    <w:p w:rsidR="008E77D9" w:rsidRPr="008E77D9" w:rsidRDefault="008E77D9" w:rsidP="008E77D9">
      <w:pPr>
        <w:pStyle w:val="NoSpacing"/>
        <w:jc w:val="center"/>
        <w:rPr>
          <w:rFonts w:cstheme="minorHAnsi"/>
          <w:sz w:val="24"/>
        </w:rPr>
      </w:pPr>
      <w:r w:rsidRPr="008E77D9">
        <w:rPr>
          <w:rFonts w:cstheme="minorHAnsi"/>
          <w:sz w:val="24"/>
        </w:rPr>
        <w:t>575-200-3929</w:t>
      </w:r>
    </w:p>
    <w:p w:rsidR="000F403A" w:rsidRPr="008E77D9" w:rsidRDefault="00355E86" w:rsidP="008E77D9">
      <w:pPr>
        <w:pStyle w:val="NoSpacing"/>
        <w:jc w:val="center"/>
        <w:rPr>
          <w:rFonts w:cstheme="minorHAnsi"/>
          <w:sz w:val="24"/>
        </w:rPr>
      </w:pPr>
      <w:hyperlink r:id="rId5" w:history="1">
        <w:r w:rsidRPr="009352D1">
          <w:rPr>
            <w:rStyle w:val="Hyperlink"/>
            <w:rFonts w:cstheme="minorHAnsi"/>
            <w:sz w:val="24"/>
          </w:rPr>
          <w:t>cac@senmcac.com</w:t>
        </w:r>
      </w:hyperlink>
    </w:p>
    <w:p w:rsidR="008E77D9" w:rsidRPr="008E77D9" w:rsidRDefault="008E77D9" w:rsidP="008E77D9">
      <w:pPr>
        <w:pStyle w:val="NoSpacing"/>
        <w:rPr>
          <w:rFonts w:cstheme="minorHAnsi"/>
          <w:sz w:val="24"/>
        </w:rPr>
      </w:pPr>
    </w:p>
    <w:sectPr w:rsidR="008E77D9" w:rsidRPr="008E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galoo">
    <w:panose1 w:val="03060902030202020203"/>
    <w:charset w:val="00"/>
    <w:family w:val="script"/>
    <w:pitch w:val="variable"/>
    <w:sig w:usb0="0000002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D9"/>
    <w:rsid w:val="000F403A"/>
    <w:rsid w:val="00355E86"/>
    <w:rsid w:val="005F409F"/>
    <w:rsid w:val="008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7408"/>
  <w15:chartTrackingRefBased/>
  <w15:docId w15:val="{82CCEA3B-73D1-44C6-BCBD-330FBCCE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7D9"/>
    <w:pPr>
      <w:spacing w:after="0" w:line="240" w:lineRule="auto"/>
    </w:pPr>
  </w:style>
  <w:style w:type="character" w:styleId="Hyperlink">
    <w:name w:val="Hyperlink"/>
    <w:basedOn w:val="DefaultParagraphFont"/>
    <w:uiPriority w:val="99"/>
    <w:unhideWhenUsed/>
    <w:rsid w:val="008E7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c@senmca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fhclab@outlook.com</cp:lastModifiedBy>
  <cp:revision>3</cp:revision>
  <dcterms:created xsi:type="dcterms:W3CDTF">2017-12-03T05:35:00Z</dcterms:created>
  <dcterms:modified xsi:type="dcterms:W3CDTF">2021-04-18T16:23:00Z</dcterms:modified>
</cp:coreProperties>
</file>